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AB" w:rsidRDefault="00BA03AB" w:rsidP="004B782B">
      <w:pPr>
        <w:spacing w:line="40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3B6BE7">
        <w:rPr>
          <w:rFonts w:ascii="华文楷体" w:eastAsia="华文楷体" w:hAnsi="华文楷体" w:hint="eastAsia"/>
          <w:b/>
          <w:bCs/>
          <w:sz w:val="28"/>
          <w:szCs w:val="28"/>
        </w:rPr>
        <w:t>四川大学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单台件40万元及以上实验</w:t>
      </w:r>
      <w:r w:rsidRPr="003B6BE7">
        <w:rPr>
          <w:rFonts w:ascii="华文楷体" w:eastAsia="华文楷体" w:hAnsi="华文楷体" w:hint="eastAsia"/>
          <w:b/>
          <w:bCs/>
          <w:sz w:val="28"/>
          <w:szCs w:val="28"/>
        </w:rPr>
        <w:t>仪器设备</w:t>
      </w:r>
    </w:p>
    <w:p w:rsidR="00BA03AB" w:rsidRDefault="00BA03AB" w:rsidP="004B782B">
      <w:pPr>
        <w:spacing w:line="40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开放共享年度效益评价表</w:t>
      </w:r>
    </w:p>
    <w:p w:rsidR="00BA03AB" w:rsidRDefault="00BA03AB" w:rsidP="004B782B">
      <w:pPr>
        <w:spacing w:line="400" w:lineRule="exact"/>
        <w:rPr>
          <w:rFonts w:ascii="华文楷体" w:eastAsia="华文楷体" w:hAnsi="华文楷体"/>
          <w:b/>
          <w:bCs/>
          <w:sz w:val="24"/>
          <w:u w:val="single"/>
        </w:rPr>
      </w:pPr>
      <w:r w:rsidRPr="0012460D">
        <w:rPr>
          <w:rFonts w:ascii="华文楷体" w:eastAsia="华文楷体" w:hAnsi="华文楷体" w:hint="eastAsia"/>
          <w:b/>
          <w:bCs/>
          <w:sz w:val="24"/>
        </w:rPr>
        <w:t>仪器</w:t>
      </w:r>
      <w:r>
        <w:rPr>
          <w:rFonts w:ascii="华文楷体" w:eastAsia="华文楷体" w:hAnsi="华文楷体" w:hint="eastAsia"/>
          <w:b/>
          <w:bCs/>
          <w:sz w:val="24"/>
        </w:rPr>
        <w:t>设备</w:t>
      </w:r>
      <w:r w:rsidRPr="0012460D">
        <w:rPr>
          <w:rFonts w:ascii="华文楷体" w:eastAsia="华文楷体" w:hAnsi="华文楷体" w:hint="eastAsia"/>
          <w:b/>
          <w:bCs/>
          <w:sz w:val="24"/>
        </w:rPr>
        <w:t>名称</w:t>
      </w:r>
      <w:r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          </w:t>
      </w:r>
      <w:r w:rsidRPr="00846CF3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                 </w:t>
      </w:r>
      <w:r>
        <w:rPr>
          <w:rFonts w:ascii="华文楷体" w:eastAsia="华文楷体" w:hAnsi="华文楷体" w:hint="eastAsia"/>
          <w:b/>
          <w:bCs/>
          <w:sz w:val="24"/>
        </w:rPr>
        <w:t xml:space="preserve">   </w:t>
      </w:r>
      <w:r w:rsidRPr="007F683D">
        <w:rPr>
          <w:rFonts w:ascii="华文楷体" w:eastAsia="华文楷体" w:hAnsi="华文楷体" w:hint="eastAsia"/>
          <w:b/>
          <w:bCs/>
          <w:sz w:val="24"/>
        </w:rPr>
        <w:t>设备</w:t>
      </w:r>
      <w:r>
        <w:rPr>
          <w:rFonts w:ascii="华文楷体" w:eastAsia="华文楷体" w:hAnsi="华文楷体" w:hint="eastAsia"/>
          <w:b/>
          <w:bCs/>
          <w:sz w:val="24"/>
        </w:rPr>
        <w:t>编号</w:t>
      </w:r>
      <w:r w:rsidRPr="00B530CB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</w:t>
      </w:r>
      <w:r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     </w:t>
      </w:r>
    </w:p>
    <w:p w:rsidR="00BA03AB" w:rsidRDefault="00BA03AB" w:rsidP="004B782B">
      <w:pPr>
        <w:spacing w:line="400" w:lineRule="exac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 xml:space="preserve">所属单位（二级单位与实验室名称） </w:t>
      </w:r>
      <w:r w:rsidRPr="00B530CB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</w:t>
      </w:r>
      <w:r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     </w:t>
      </w:r>
      <w:r w:rsidRPr="00B530CB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</w:t>
      </w:r>
      <w:r w:rsidRPr="0012460D">
        <w:rPr>
          <w:rFonts w:ascii="华文楷体" w:eastAsia="华文楷体" w:hAnsi="华文楷体" w:hint="eastAsia"/>
          <w:b/>
          <w:bCs/>
          <w:sz w:val="24"/>
        </w:rPr>
        <w:t xml:space="preserve">  </w:t>
      </w:r>
      <w:r>
        <w:rPr>
          <w:rFonts w:ascii="华文楷体" w:eastAsia="华文楷体" w:hAnsi="华文楷体" w:hint="eastAsia"/>
          <w:b/>
          <w:bCs/>
          <w:sz w:val="24"/>
        </w:rPr>
        <w:t xml:space="preserve"> 责任人签字</w:t>
      </w:r>
      <w:r w:rsidRPr="0012460D">
        <w:rPr>
          <w:rFonts w:ascii="华文楷体" w:eastAsia="华文楷体" w:hAnsi="华文楷体" w:hint="eastAsia"/>
          <w:b/>
          <w:bCs/>
          <w:sz w:val="24"/>
        </w:rPr>
        <w:t xml:space="preserve"> </w:t>
      </w:r>
      <w:r w:rsidRPr="007F683D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    </w:t>
      </w:r>
      <w:r w:rsidRPr="007F683D">
        <w:rPr>
          <w:rFonts w:ascii="华文楷体" w:eastAsia="华文楷体" w:hAnsi="华文楷体" w:hint="eastAsia"/>
          <w:b/>
          <w:bCs/>
          <w:sz w:val="24"/>
          <w:u w:val="single"/>
        </w:rPr>
        <w:t xml:space="preserve">  </w:t>
      </w:r>
      <w:r>
        <w:rPr>
          <w:rFonts w:ascii="华文楷体" w:eastAsia="华文楷体" w:hAnsi="华文楷体" w:hint="eastAsia"/>
          <w:b/>
          <w:bCs/>
          <w:sz w:val="24"/>
        </w:rPr>
        <w:t xml:space="preserve">   </w:t>
      </w:r>
    </w:p>
    <w:tbl>
      <w:tblPr>
        <w:tblpPr w:leftFromText="180" w:rightFromText="180" w:vertAnchor="text" w:horzAnchor="margin" w:tblpXSpec="center" w:tblpY="259"/>
        <w:tblW w:w="6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"/>
        <w:gridCol w:w="5249"/>
        <w:gridCol w:w="708"/>
        <w:gridCol w:w="708"/>
        <w:gridCol w:w="1987"/>
      </w:tblGrid>
      <w:tr w:rsidR="00CF0E3F" w:rsidRPr="00591075" w:rsidTr="00CF0E3F">
        <w:trPr>
          <w:trHeight w:val="416"/>
        </w:trPr>
        <w:tc>
          <w:tcPr>
            <w:tcW w:w="920" w:type="pct"/>
            <w:gridSpan w:val="2"/>
            <w:vAlign w:val="center"/>
          </w:tcPr>
          <w:p w:rsidR="00BA03AB" w:rsidRPr="00FD3257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 w:rsidRPr="00FD3257">
              <w:rPr>
                <w:rFonts w:ascii="黑体" w:eastAsia="黑体" w:hAnsi="华文楷体" w:hint="eastAsia"/>
                <w:b/>
                <w:bCs/>
                <w:sz w:val="24"/>
              </w:rPr>
              <w:t>考核指标及权重</w:t>
            </w:r>
          </w:p>
        </w:tc>
        <w:tc>
          <w:tcPr>
            <w:tcW w:w="2475" w:type="pct"/>
            <w:vMerge w:val="restart"/>
            <w:vAlign w:val="center"/>
          </w:tcPr>
          <w:p w:rsidR="00BA03AB" w:rsidRPr="00FD3257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 w:rsidRPr="00FD3257">
              <w:rPr>
                <w:rFonts w:ascii="黑体" w:eastAsia="黑体" w:hAnsi="华文楷体" w:hint="eastAsia"/>
                <w:b/>
                <w:bCs/>
                <w:sz w:val="24"/>
              </w:rPr>
              <w:t>考核内容</w:t>
            </w:r>
          </w:p>
        </w:tc>
        <w:tc>
          <w:tcPr>
            <w:tcW w:w="668" w:type="pct"/>
            <w:gridSpan w:val="2"/>
            <w:vAlign w:val="center"/>
          </w:tcPr>
          <w:p w:rsidR="00BA03AB" w:rsidRPr="00FD3257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>
              <w:rPr>
                <w:rFonts w:ascii="黑体" w:eastAsia="黑体" w:hAnsi="华文楷体" w:hint="eastAsia"/>
                <w:b/>
                <w:bCs/>
                <w:sz w:val="24"/>
              </w:rPr>
              <w:t>分值</w:t>
            </w:r>
          </w:p>
        </w:tc>
        <w:tc>
          <w:tcPr>
            <w:tcW w:w="937" w:type="pct"/>
            <w:vMerge w:val="restart"/>
          </w:tcPr>
          <w:p w:rsidR="004554B1" w:rsidRDefault="004554B1" w:rsidP="004554B1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</w:p>
          <w:p w:rsidR="004554B1" w:rsidRDefault="004554B1" w:rsidP="004554B1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</w:p>
          <w:p w:rsidR="004554B1" w:rsidRDefault="004554B1" w:rsidP="004554B1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</w:p>
          <w:p w:rsidR="00BA03AB" w:rsidRDefault="00BA03AB" w:rsidP="004554B1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>
              <w:rPr>
                <w:rFonts w:ascii="黑体" w:eastAsia="黑体" w:hAnsi="华文楷体" w:hint="eastAsia"/>
                <w:b/>
                <w:bCs/>
                <w:sz w:val="24"/>
              </w:rPr>
              <w:t>备注</w:t>
            </w:r>
          </w:p>
        </w:tc>
      </w:tr>
      <w:tr w:rsidR="00CF0E3F" w:rsidRPr="00591075" w:rsidTr="00CF0E3F">
        <w:trPr>
          <w:trHeight w:val="1549"/>
        </w:trPr>
        <w:tc>
          <w:tcPr>
            <w:tcW w:w="452" w:type="pct"/>
            <w:vAlign w:val="center"/>
          </w:tcPr>
          <w:p w:rsidR="00BA03AB" w:rsidRPr="00104A80" w:rsidRDefault="00BA03AB" w:rsidP="00D561C3">
            <w:pPr>
              <w:spacing w:line="240" w:lineRule="exact"/>
              <w:jc w:val="left"/>
              <w:rPr>
                <w:rFonts w:ascii="黑体" w:eastAsia="黑体" w:hAnsi="华文楷体"/>
                <w:b/>
                <w:bCs/>
                <w:sz w:val="24"/>
              </w:rPr>
            </w:pPr>
            <w:r w:rsidRPr="00104A80">
              <w:rPr>
                <w:rFonts w:ascii="黑体" w:eastAsia="黑体" w:hAnsi="华文楷体" w:hint="eastAsia"/>
                <w:b/>
                <w:bCs/>
                <w:sz w:val="24"/>
              </w:rPr>
              <w:t>必选项（满分100分）</w:t>
            </w:r>
          </w:p>
        </w:tc>
        <w:tc>
          <w:tcPr>
            <w:tcW w:w="468" w:type="pct"/>
            <w:vAlign w:val="center"/>
          </w:tcPr>
          <w:p w:rsidR="00BA03AB" w:rsidRPr="00104A80" w:rsidRDefault="00BA03AB" w:rsidP="00D561C3">
            <w:pPr>
              <w:spacing w:line="240" w:lineRule="exact"/>
              <w:jc w:val="left"/>
              <w:rPr>
                <w:rFonts w:ascii="黑体" w:eastAsia="黑体" w:hAnsi="华文楷体"/>
                <w:b/>
                <w:bCs/>
                <w:sz w:val="24"/>
              </w:rPr>
            </w:pPr>
            <w:r w:rsidRPr="00104A80">
              <w:rPr>
                <w:rFonts w:ascii="黑体" w:eastAsia="黑体" w:hAnsi="华文楷体" w:hint="eastAsia"/>
                <w:b/>
                <w:bCs/>
                <w:sz w:val="24"/>
              </w:rPr>
              <w:t>加分项（满分8分）</w:t>
            </w:r>
          </w:p>
        </w:tc>
        <w:tc>
          <w:tcPr>
            <w:tcW w:w="2475" w:type="pct"/>
            <w:vMerge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334" w:type="pct"/>
            <w:vAlign w:val="center"/>
          </w:tcPr>
          <w:p w:rsidR="00BA03AB" w:rsidRPr="00FD3257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 w:rsidRPr="00FD3257">
              <w:rPr>
                <w:rFonts w:ascii="黑体" w:eastAsia="黑体" w:hAnsi="华文楷体" w:hint="eastAsia"/>
                <w:b/>
                <w:bCs/>
                <w:sz w:val="24"/>
              </w:rPr>
              <w:t>满分</w:t>
            </w:r>
          </w:p>
        </w:tc>
        <w:tc>
          <w:tcPr>
            <w:tcW w:w="334" w:type="pct"/>
            <w:vAlign w:val="center"/>
          </w:tcPr>
          <w:p w:rsidR="00BA03AB" w:rsidRPr="00760A1E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  <w:r w:rsidRPr="00760A1E">
              <w:rPr>
                <w:rFonts w:ascii="黑体" w:eastAsia="黑体" w:hAnsi="华文楷体" w:hint="eastAsia"/>
                <w:b/>
                <w:bCs/>
                <w:sz w:val="24"/>
              </w:rPr>
              <w:t>二级单位对机组考评</w:t>
            </w:r>
          </w:p>
        </w:tc>
        <w:tc>
          <w:tcPr>
            <w:tcW w:w="937" w:type="pct"/>
            <w:vMerge/>
          </w:tcPr>
          <w:p w:rsidR="00BA03AB" w:rsidRDefault="00BA03AB" w:rsidP="00D561C3">
            <w:pPr>
              <w:spacing w:line="240" w:lineRule="exact"/>
              <w:jc w:val="center"/>
              <w:rPr>
                <w:rFonts w:ascii="黑体" w:eastAsia="黑体" w:hAnsi="华文楷体"/>
                <w:b/>
                <w:bCs/>
                <w:sz w:val="24"/>
              </w:rPr>
            </w:pPr>
          </w:p>
        </w:tc>
      </w:tr>
      <w:tr w:rsidR="00CF0E3F" w:rsidRPr="00826F6A" w:rsidTr="00CF0E3F">
        <w:trPr>
          <w:trHeight w:val="1136"/>
        </w:trPr>
        <w:tc>
          <w:tcPr>
            <w:tcW w:w="452" w:type="pc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制度建设与执行   （15分）</w:t>
            </w:r>
          </w:p>
        </w:tc>
        <w:tc>
          <w:tcPr>
            <w:tcW w:w="468" w:type="pc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设备及其所在实验用房内，各项工作专人分工负责、建立详细使用台账、操作规程与安全规定等规章制度健全完善；技术资料等档案完善、保存良好，相关人员严格执行规章制度。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15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</w:tcPr>
          <w:p w:rsidR="00BA03AB" w:rsidRPr="00A56C7D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A56C7D">
              <w:rPr>
                <w:rFonts w:ascii="华文楷体" w:eastAsia="华文楷体" w:hAnsi="华文楷体" w:hint="eastAsia"/>
                <w:b/>
                <w:bCs/>
                <w:szCs w:val="21"/>
              </w:rPr>
              <w:t>使用台账和操作规程是评分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重要依据；</w:t>
            </w:r>
            <w:r w:rsidRPr="0036128C"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提供书面材料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；</w:t>
            </w:r>
            <w:r w:rsidRPr="000D0A9E">
              <w:rPr>
                <w:rFonts w:ascii="华文楷体" w:eastAsia="华文楷体" w:hAnsi="华文楷体" w:hint="eastAsia"/>
                <w:b/>
                <w:bCs/>
                <w:szCs w:val="21"/>
              </w:rPr>
              <w:t>对无使用</w:t>
            </w:r>
            <w:proofErr w:type="gramStart"/>
            <w:r w:rsidRPr="000D0A9E">
              <w:rPr>
                <w:rFonts w:ascii="华文楷体" w:eastAsia="华文楷体" w:hAnsi="华文楷体" w:hint="eastAsia"/>
                <w:b/>
                <w:bCs/>
                <w:szCs w:val="21"/>
              </w:rPr>
              <w:t>机时台</w:t>
            </w:r>
            <w:proofErr w:type="gramEnd"/>
            <w:r w:rsidRPr="000D0A9E">
              <w:rPr>
                <w:rFonts w:ascii="华文楷体" w:eastAsia="华文楷体" w:hAnsi="华文楷体" w:hint="eastAsia"/>
                <w:b/>
                <w:bCs/>
                <w:szCs w:val="21"/>
              </w:rPr>
              <w:t>账的设备，该项总分最多3分</w:t>
            </w:r>
          </w:p>
        </w:tc>
      </w:tr>
      <w:tr w:rsidR="00CF0E3F" w:rsidRPr="00826F6A" w:rsidTr="00CF0E3F">
        <w:trPr>
          <w:trHeight w:val="328"/>
        </w:trPr>
        <w:tc>
          <w:tcPr>
            <w:tcW w:w="452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条件  改善    （5分）</w:t>
            </w:r>
          </w:p>
        </w:tc>
        <w:tc>
          <w:tcPr>
            <w:tcW w:w="468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设备责任人多渠道争取资源，改善设备所在房间的软硬件条件（如设备升级换代、信息化建设、安全卫生等）。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4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 w:val="restart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36128C"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提供书面材料</w:t>
            </w:r>
          </w:p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Pr="0036128C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328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原有功能利用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程度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、本年度新增加功能数、学生实验方法与设备功能创新。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591075" w:rsidRDefault="00BA03AB" w:rsidP="00D561C3">
            <w:pPr>
              <w:spacing w:line="240" w:lineRule="exact"/>
              <w:rPr>
                <w:sz w:val="24"/>
              </w:rPr>
            </w:pPr>
          </w:p>
        </w:tc>
      </w:tr>
      <w:tr w:rsidR="00CF0E3F" w:rsidRPr="00826F6A" w:rsidTr="00CF0E3F">
        <w:trPr>
          <w:trHeight w:val="884"/>
        </w:trPr>
        <w:tc>
          <w:tcPr>
            <w:tcW w:w="452" w:type="pc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操作技能培训</w:t>
            </w:r>
          </w:p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（5分）</w:t>
            </w:r>
          </w:p>
        </w:tc>
        <w:tc>
          <w:tcPr>
            <w:tcW w:w="468" w:type="pc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设备相关技术人员或责任人积极主动开展面向校内外设备用户（尤其是校内学生）的操作技能培训。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5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3136A8">
              <w:rPr>
                <w:rFonts w:ascii="华文楷体" w:eastAsia="华文楷体" w:hAnsi="华文楷体" w:hint="eastAsia"/>
                <w:b/>
                <w:bCs/>
                <w:szCs w:val="21"/>
              </w:rPr>
              <w:t>提供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受培训者签字的</w:t>
            </w:r>
            <w:r w:rsidRPr="003136A8">
              <w:rPr>
                <w:rFonts w:ascii="华文楷体" w:eastAsia="华文楷体" w:hAnsi="华文楷体" w:hint="eastAsia"/>
                <w:b/>
                <w:bCs/>
                <w:szCs w:val="21"/>
              </w:rPr>
              <w:t>书面记录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，原则上单台培训不少于10个机时</w:t>
            </w:r>
          </w:p>
          <w:p w:rsidR="00BA03AB" w:rsidRPr="003136A8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36128C"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提供书面材料</w:t>
            </w:r>
          </w:p>
        </w:tc>
      </w:tr>
      <w:tr w:rsidR="00CF0E3F" w:rsidRPr="00826F6A" w:rsidTr="00CF0E3F">
        <w:trPr>
          <w:trHeight w:val="205"/>
        </w:trPr>
        <w:tc>
          <w:tcPr>
            <w:tcW w:w="452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设备使用率</w:t>
            </w:r>
          </w:p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（35分）</w:t>
            </w:r>
          </w:p>
        </w:tc>
        <w:tc>
          <w:tcPr>
            <w:tcW w:w="468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Pr="008F6793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年度总机时： 800小时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15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 w:val="restart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提供书面支撑材料</w:t>
            </w:r>
          </w:p>
          <w:p w:rsidR="00BA03AB" w:rsidRPr="002E37A4" w:rsidRDefault="004554B1" w:rsidP="002E37A4">
            <w:pPr>
              <w:spacing w:line="240" w:lineRule="exact"/>
              <w:rPr>
                <w:rFonts w:ascii="华文楷体" w:eastAsia="华文楷体" w:hAnsi="华文楷体"/>
                <w:b/>
                <w:bCs/>
                <w:color w:val="FF0000"/>
                <w:szCs w:val="21"/>
              </w:rPr>
            </w:pPr>
            <w:r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（主要提供每次使用设备情况</w:t>
            </w:r>
            <w:r w:rsidR="00AF5F19"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书面</w:t>
            </w:r>
            <w:r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记录和使用机时数</w:t>
            </w:r>
            <w:r w:rsidR="008367F5"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记录</w:t>
            </w:r>
            <w:r w:rsidRPr="00935239">
              <w:rPr>
                <w:rFonts w:ascii="华文楷体" w:eastAsia="华文楷体" w:hAnsi="华文楷体" w:hint="eastAsia"/>
                <w:b/>
                <w:bCs/>
                <w:szCs w:val="21"/>
                <w:highlight w:val="cyan"/>
              </w:rPr>
              <w:t>）</w:t>
            </w: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Pr="00CE3A10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CE63AE">
              <w:rPr>
                <w:rFonts w:ascii="华文楷体" w:eastAsia="华文楷体" w:hAnsi="华文楷体" w:hint="eastAsia"/>
                <w:b/>
                <w:bCs/>
                <w:szCs w:val="21"/>
              </w:rPr>
              <w:t>本科生共享保障机时数：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A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类≥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150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小时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；B类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≥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80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小时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10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3136A8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为校内用户提供的年度开放共享机时数。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6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3136A8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为校外用户提供的年度开放共享机时数</w:t>
            </w:r>
            <w:r w:rsidRPr="00332734">
              <w:rPr>
                <w:rFonts w:ascii="华文楷体" w:eastAsia="华文楷体" w:hAnsi="华文楷体" w:hint="eastAsia"/>
                <w:b/>
                <w:bCs/>
                <w:color w:val="000000"/>
                <w:szCs w:val="21"/>
              </w:rPr>
              <w:t>和用户数量。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4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3136A8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5"/>
        </w:trPr>
        <w:tc>
          <w:tcPr>
            <w:tcW w:w="452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设备综合效益</w:t>
            </w:r>
          </w:p>
          <w:p w:rsidR="00BA03AB" w:rsidRPr="00591075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（40分）</w:t>
            </w:r>
          </w:p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人才培养：本科生操作技能培训总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人数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；颁发操作技能合格证书的总人数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；操作技能培训的视频课件数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；支持学生“双创”实验项目数及人数，取得创新学分的人数及学分数。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15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 w:val="restart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4554B1" w:rsidRDefault="004554B1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4554B1" w:rsidRDefault="004554B1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36128C"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提供书面材料</w:t>
            </w:r>
          </w:p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Pr="0036128C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科研成果：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仪器设备直接支撑:（1）科研项目个数，（2）发表论文篇数，（3）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国家级、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省部级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及校级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以上奖项个数，（4）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实用及发明</w:t>
            </w:r>
            <w:r w:rsidRPr="00591075">
              <w:rPr>
                <w:rFonts w:ascii="华文楷体" w:eastAsia="华文楷体" w:hAnsi="华文楷体" w:hint="eastAsia"/>
                <w:b/>
                <w:bCs/>
                <w:szCs w:val="21"/>
              </w:rPr>
              <w:t>专利数</w:t>
            </w: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，（5）教材/专著部数。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15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3136A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Merge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2475" w:type="pct"/>
            <w:vAlign w:val="center"/>
          </w:tcPr>
          <w:p w:rsidR="00BA03AB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社会服务：为校外用户技术培训人数；节约设备购置费金额（同设备同用户每年只计一次）；校外用户年度缴费总额（含直接成本费和实验服务费）；为校外用户服务对象个数；校外用户依托共享设备取得的成果数；校外用户满意度。</w:t>
            </w:r>
          </w:p>
        </w:tc>
        <w:tc>
          <w:tcPr>
            <w:tcW w:w="334" w:type="pct"/>
            <w:vAlign w:val="center"/>
          </w:tcPr>
          <w:p w:rsidR="00BA03AB" w:rsidRPr="0058763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10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  <w:vMerge/>
          </w:tcPr>
          <w:p w:rsidR="00BA03AB" w:rsidRPr="003136A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  <w:tr w:rsidR="00CF0E3F" w:rsidRPr="00826F6A" w:rsidTr="00CF0E3F">
        <w:trPr>
          <w:trHeight w:val="203"/>
        </w:trPr>
        <w:tc>
          <w:tcPr>
            <w:tcW w:w="452" w:type="pct"/>
            <w:vAlign w:val="center"/>
          </w:tcPr>
          <w:p w:rsidR="00BA03AB" w:rsidRDefault="00BA03AB" w:rsidP="00D561C3">
            <w:pPr>
              <w:spacing w:line="240" w:lineRule="exact"/>
              <w:jc w:val="left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  <w:tc>
          <w:tcPr>
            <w:tcW w:w="468" w:type="pct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目标责任书  （8分）</w:t>
            </w:r>
          </w:p>
        </w:tc>
        <w:tc>
          <w:tcPr>
            <w:tcW w:w="2475" w:type="pct"/>
            <w:vAlign w:val="center"/>
          </w:tcPr>
          <w:p w:rsidR="00BA03AB" w:rsidRPr="00591075" w:rsidRDefault="00BA03AB" w:rsidP="00D561C3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设备责任人与所在二级单位签订符合实际、追求卓越的设备管理及其开放共享年度责任书。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  <w:r w:rsidRPr="00587638">
              <w:rPr>
                <w:rFonts w:ascii="华文楷体" w:eastAsia="华文楷体" w:hAnsi="华文楷体" w:hint="eastAsia"/>
                <w:b/>
                <w:bCs/>
                <w:szCs w:val="21"/>
              </w:rPr>
              <w:t>8</w:t>
            </w:r>
          </w:p>
        </w:tc>
        <w:tc>
          <w:tcPr>
            <w:tcW w:w="334" w:type="pct"/>
            <w:vAlign w:val="center"/>
          </w:tcPr>
          <w:p w:rsidR="00BA03AB" w:rsidRPr="00591075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37" w:type="pct"/>
          </w:tcPr>
          <w:p w:rsidR="002E37A4" w:rsidRDefault="002E37A4" w:rsidP="002E37A4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  <w:p w:rsidR="00BA03AB" w:rsidRPr="0036128C" w:rsidRDefault="00BA03AB" w:rsidP="002E37A4">
            <w:pPr>
              <w:spacing w:line="240" w:lineRule="exact"/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36128C">
              <w:rPr>
                <w:rFonts w:ascii="华文楷体" w:eastAsia="华文楷体" w:hAnsi="华文楷体" w:hint="eastAsia"/>
                <w:b/>
                <w:bCs/>
                <w:szCs w:val="21"/>
              </w:rPr>
              <w:t>提供书面材料</w:t>
            </w:r>
          </w:p>
        </w:tc>
      </w:tr>
      <w:tr w:rsidR="00CF0E3F" w:rsidRPr="00826F6A" w:rsidTr="00594EA2">
        <w:trPr>
          <w:trHeight w:val="318"/>
        </w:trPr>
        <w:tc>
          <w:tcPr>
            <w:tcW w:w="920" w:type="pct"/>
            <w:gridSpan w:val="2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合计</w:t>
            </w:r>
          </w:p>
        </w:tc>
        <w:tc>
          <w:tcPr>
            <w:tcW w:w="2809" w:type="pct"/>
            <w:gridSpan w:val="2"/>
            <w:vAlign w:val="center"/>
          </w:tcPr>
          <w:p w:rsidR="00BA03AB" w:rsidRDefault="00BA03AB" w:rsidP="00D561C3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pct"/>
            <w:gridSpan w:val="2"/>
          </w:tcPr>
          <w:p w:rsidR="00BA03AB" w:rsidRPr="003136A8" w:rsidRDefault="00BA03AB" w:rsidP="00D561C3">
            <w:pPr>
              <w:spacing w:line="240" w:lineRule="exact"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</w:p>
        </w:tc>
      </w:tr>
    </w:tbl>
    <w:p w:rsidR="00107428" w:rsidRPr="003928C0" w:rsidRDefault="00107428" w:rsidP="003928C0">
      <w:pPr>
        <w:spacing w:line="360" w:lineRule="exact"/>
        <w:jc w:val="left"/>
        <w:rPr>
          <w:rFonts w:ascii="华文楷体" w:eastAsia="华文楷体" w:hAnsi="华文楷体"/>
          <w:b/>
          <w:bCs/>
          <w:color w:val="000000"/>
          <w:sz w:val="22"/>
          <w:szCs w:val="21"/>
        </w:rPr>
      </w:pPr>
      <w:r w:rsidRPr="003928C0">
        <w:rPr>
          <w:rFonts w:ascii="华文楷体" w:eastAsia="华文楷体" w:hAnsi="华文楷体" w:hint="eastAsia"/>
          <w:b/>
          <w:bCs/>
          <w:color w:val="000000"/>
          <w:sz w:val="22"/>
          <w:szCs w:val="21"/>
        </w:rPr>
        <w:t>注：1. 此表以每台设备为单位进行效益评价与考核，考核时间从2017年开始。</w:t>
      </w:r>
    </w:p>
    <w:p w:rsidR="00BA03AB" w:rsidRPr="0050378D" w:rsidRDefault="00107428" w:rsidP="003928C0">
      <w:pPr>
        <w:spacing w:line="360" w:lineRule="exact"/>
        <w:ind w:firstLineChars="200" w:firstLine="440"/>
        <w:jc w:val="left"/>
        <w:rPr>
          <w:rFonts w:ascii="华文楷体" w:eastAsia="华文楷体" w:hAnsi="华文楷体"/>
          <w:b/>
          <w:bCs/>
          <w:color w:val="000000"/>
          <w:sz w:val="22"/>
          <w:szCs w:val="21"/>
        </w:rPr>
      </w:pPr>
      <w:r w:rsidRPr="003928C0">
        <w:rPr>
          <w:rFonts w:ascii="华文楷体" w:eastAsia="华文楷体" w:hAnsi="华文楷体" w:hint="eastAsia"/>
          <w:b/>
          <w:bCs/>
          <w:color w:val="000000"/>
          <w:sz w:val="22"/>
          <w:szCs w:val="21"/>
        </w:rPr>
        <w:t>2. 此次该表仅作为各单位的自查表，</w:t>
      </w:r>
      <w:r w:rsidRPr="0050378D">
        <w:rPr>
          <w:rFonts w:ascii="华文楷体" w:eastAsia="华文楷体" w:hAnsi="华文楷体" w:hint="eastAsia"/>
          <w:b/>
          <w:bCs/>
          <w:color w:val="000000"/>
          <w:sz w:val="22"/>
          <w:szCs w:val="21"/>
          <w:u w:val="single"/>
        </w:rPr>
        <w:t>自查时间为2016年12月8日</w:t>
      </w:r>
      <w:r w:rsidRPr="0050378D">
        <w:rPr>
          <w:rFonts w:ascii="华文楷体" w:eastAsia="华文楷体" w:hAnsi="华文楷体"/>
          <w:b/>
          <w:bCs/>
          <w:color w:val="000000"/>
          <w:sz w:val="22"/>
          <w:szCs w:val="21"/>
          <w:u w:val="single"/>
        </w:rPr>
        <w:t>—</w:t>
      </w:r>
      <w:r w:rsidRPr="0050378D">
        <w:rPr>
          <w:rFonts w:ascii="华文楷体" w:eastAsia="华文楷体" w:hAnsi="华文楷体" w:hint="eastAsia"/>
          <w:b/>
          <w:bCs/>
          <w:color w:val="000000"/>
          <w:sz w:val="22"/>
          <w:szCs w:val="21"/>
          <w:u w:val="single"/>
        </w:rPr>
        <w:t>14日</w:t>
      </w:r>
      <w:r w:rsidR="00804E08" w:rsidRPr="0050378D">
        <w:rPr>
          <w:rFonts w:ascii="华文楷体" w:eastAsia="华文楷体" w:hAnsi="华文楷体" w:hint="eastAsia"/>
          <w:b/>
          <w:bCs/>
          <w:color w:val="000000"/>
          <w:sz w:val="22"/>
          <w:szCs w:val="21"/>
        </w:rPr>
        <w:t>，</w:t>
      </w:r>
      <w:r w:rsidR="00804E08" w:rsidRPr="0050378D">
        <w:rPr>
          <w:rFonts w:ascii="华文楷体" w:eastAsia="华文楷体" w:hAnsi="华文楷体" w:hint="eastAsia"/>
          <w:b/>
          <w:bCs/>
          <w:color w:val="000000"/>
          <w:sz w:val="22"/>
          <w:szCs w:val="21"/>
          <w:u w:val="single"/>
        </w:rPr>
        <w:t>学校现场检查时间为12月15日—16日</w:t>
      </w:r>
      <w:r w:rsidR="00650D9B" w:rsidRPr="0050378D">
        <w:rPr>
          <w:rFonts w:ascii="华文楷体" w:eastAsia="华文楷体" w:hAnsi="华文楷体" w:hint="eastAsia"/>
          <w:b/>
          <w:bCs/>
          <w:color w:val="000000"/>
          <w:sz w:val="22"/>
          <w:szCs w:val="21"/>
        </w:rPr>
        <w:t>。</w:t>
      </w:r>
      <w:r w:rsidR="00DE1241" w:rsidRPr="00DE1241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12月15日自查报告纸质</w:t>
      </w:r>
      <w:proofErr w:type="gramStart"/>
      <w:r w:rsidR="00DE1241" w:rsidRPr="00DE1241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版交设备</w:t>
      </w:r>
      <w:proofErr w:type="gramEnd"/>
      <w:r w:rsidR="00DE1241" w:rsidRPr="00DE1241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处206B室。</w:t>
      </w:r>
    </w:p>
    <w:p w:rsidR="002E37A4" w:rsidRPr="003928C0" w:rsidRDefault="00804E08" w:rsidP="003928C0">
      <w:pPr>
        <w:spacing w:line="360" w:lineRule="exact"/>
        <w:ind w:firstLineChars="200" w:firstLine="440"/>
        <w:jc w:val="left"/>
        <w:rPr>
          <w:rFonts w:ascii="华文楷体" w:eastAsia="华文楷体" w:hAnsi="华文楷体"/>
          <w:b/>
          <w:bCs/>
          <w:sz w:val="28"/>
        </w:rPr>
      </w:pPr>
      <w:r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3. 此次重点检查每台</w:t>
      </w:r>
      <w:r w:rsidR="00144728"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设备</w:t>
      </w:r>
      <w:r w:rsidR="00301A1A"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每次</w:t>
      </w:r>
      <w:r w:rsidR="00144728"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使用</w:t>
      </w:r>
      <w:r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情况书面记录和使用机时</w:t>
      </w:r>
      <w:proofErr w:type="gramStart"/>
      <w:r w:rsidRPr="0095679B">
        <w:rPr>
          <w:rFonts w:ascii="华文楷体" w:eastAsia="华文楷体" w:hAnsi="华文楷体" w:hint="eastAsia"/>
          <w:b/>
          <w:bCs/>
          <w:color w:val="000000"/>
          <w:sz w:val="22"/>
          <w:szCs w:val="21"/>
          <w:highlight w:val="cyan"/>
          <w:u w:val="single"/>
        </w:rPr>
        <w:t>数记录</w:t>
      </w:r>
      <w:proofErr w:type="gramEnd"/>
      <w:r w:rsidR="004F567E" w:rsidRPr="0095679B">
        <w:rPr>
          <w:rFonts w:ascii="华文楷体" w:eastAsia="华文楷体" w:hAnsi="华文楷体" w:hint="eastAsia"/>
          <w:b/>
          <w:bCs/>
          <w:sz w:val="28"/>
          <w:highlight w:val="cyan"/>
        </w:rPr>
        <w:t xml:space="preserve"> </w:t>
      </w:r>
      <w:r w:rsidR="00650D9B" w:rsidRPr="005159DF">
        <w:rPr>
          <w:rFonts w:ascii="华文楷体" w:eastAsia="华文楷体" w:hAnsi="华文楷体" w:hint="eastAsia"/>
          <w:b/>
          <w:bCs/>
          <w:sz w:val="28"/>
        </w:rPr>
        <w:t>。</w:t>
      </w:r>
      <w:bookmarkStart w:id="0" w:name="_GoBack"/>
      <w:bookmarkEnd w:id="0"/>
      <w:r w:rsidR="004F567E" w:rsidRPr="003928C0">
        <w:rPr>
          <w:rFonts w:ascii="华文楷体" w:eastAsia="华文楷体" w:hAnsi="华文楷体" w:hint="eastAsia"/>
          <w:b/>
          <w:bCs/>
          <w:sz w:val="28"/>
        </w:rPr>
        <w:t xml:space="preserve">                             </w:t>
      </w:r>
    </w:p>
    <w:sectPr w:rsidR="002E37A4" w:rsidRPr="003928C0" w:rsidSect="004B782B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B2" w:rsidRDefault="000B11B2" w:rsidP="00DE1241">
      <w:r>
        <w:separator/>
      </w:r>
    </w:p>
  </w:endnote>
  <w:endnote w:type="continuationSeparator" w:id="0">
    <w:p w:rsidR="000B11B2" w:rsidRDefault="000B11B2" w:rsidP="00D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B2" w:rsidRDefault="000B11B2" w:rsidP="00DE1241">
      <w:r>
        <w:separator/>
      </w:r>
    </w:p>
  </w:footnote>
  <w:footnote w:type="continuationSeparator" w:id="0">
    <w:p w:rsidR="000B11B2" w:rsidRDefault="000B11B2" w:rsidP="00DE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B"/>
    <w:rsid w:val="000316DE"/>
    <w:rsid w:val="00065DE7"/>
    <w:rsid w:val="000B11B2"/>
    <w:rsid w:val="000D53C5"/>
    <w:rsid w:val="00107428"/>
    <w:rsid w:val="00144728"/>
    <w:rsid w:val="002E37A4"/>
    <w:rsid w:val="00301A1A"/>
    <w:rsid w:val="00327445"/>
    <w:rsid w:val="003928C0"/>
    <w:rsid w:val="004320F8"/>
    <w:rsid w:val="004554B1"/>
    <w:rsid w:val="004B782B"/>
    <w:rsid w:val="004F567E"/>
    <w:rsid w:val="0050378D"/>
    <w:rsid w:val="005159DF"/>
    <w:rsid w:val="00594EA2"/>
    <w:rsid w:val="00650D9B"/>
    <w:rsid w:val="0067376B"/>
    <w:rsid w:val="00804E08"/>
    <w:rsid w:val="008367F5"/>
    <w:rsid w:val="009105A3"/>
    <w:rsid w:val="00935239"/>
    <w:rsid w:val="0095679B"/>
    <w:rsid w:val="00AF5F19"/>
    <w:rsid w:val="00BA03AB"/>
    <w:rsid w:val="00CF0E3F"/>
    <w:rsid w:val="00DE1241"/>
    <w:rsid w:val="00DE4260"/>
    <w:rsid w:val="00F7787C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D0D0-DB0B-4B22-A0BD-DAEF392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1109</Characters>
  <Application>Microsoft Office Word</Application>
  <DocSecurity>0</DocSecurity>
  <Lines>9</Lines>
  <Paragraphs>2</Paragraphs>
  <ScaleCrop>false</ScaleCrop>
  <Company>Lenovo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28</cp:revision>
  <cp:lastPrinted>2016-12-08T02:21:00Z</cp:lastPrinted>
  <dcterms:created xsi:type="dcterms:W3CDTF">2016-12-08T01:41:00Z</dcterms:created>
  <dcterms:modified xsi:type="dcterms:W3CDTF">2016-12-08T08:26:00Z</dcterms:modified>
</cp:coreProperties>
</file>